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833120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833120" w:rsidP="00210FA5">
            <w:r>
              <w:t>octubre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833120" w:rsidP="00287538">
            <w:r>
              <w:t>octubre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33120" w:rsidP="00287538">
            <w:r>
              <w:t>octubre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833120" w:rsidP="00287538">
            <w:r>
              <w:t xml:space="preserve">octubre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833120" w:rsidP="00287538">
            <w:r>
              <w:t xml:space="preserve"> octubre</w:t>
            </w:r>
            <w:r w:rsidR="00B244D3">
              <w:t xml:space="preserve">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833120" w:rsidP="00A7761F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 xml:space="preserve">octubre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 xml:space="preserve">octubre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DB75ED">
            <w:r>
              <w:t xml:space="preserve">octubre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 xml:space="preserve">octubre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576783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833120" w:rsidP="00AE79A5">
            <w:r>
              <w:t>octubre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 xml:space="preserve">octubre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 xml:space="preserve">octubre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33120" w:rsidP="00287538">
            <w:r>
              <w:t>octubre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 xml:space="preserve">octubre 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33120" w:rsidP="00D82F19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833120" w:rsidP="00287538">
            <w:r>
              <w:t>octubre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576783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576783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833120" w:rsidP="00CF65CB">
            <w:r>
              <w:t>octubre</w:t>
            </w:r>
            <w:r w:rsidR="00B244D3">
              <w:t xml:space="preserve"> </w:t>
            </w:r>
            <w:r w:rsidR="00CF65CB">
              <w:t>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bookmarkStart w:id="0" w:name="_GoBack"/>
            <w:bookmarkEnd w:id="0"/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576783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833120" w:rsidP="00186FA0">
            <w:r>
              <w:t>octubre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576783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576783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833120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octubre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833120" w:rsidP="004257F9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>octubre</w:t>
            </w:r>
            <w:r w:rsidR="00DB75ED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833120" w:rsidP="00287538"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576783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833120" w:rsidP="00BC1165">
            <w:r>
              <w:t>octubre</w:t>
            </w:r>
            <w:r w:rsidR="00EF120C">
              <w:t xml:space="preserve"> </w:t>
            </w:r>
            <w:r w:rsidR="004D6F80">
              <w:t>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833120" w:rsidP="00287538">
            <w:r>
              <w:t>octubre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57678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33120" w:rsidP="006E03F9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57678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57678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576783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576783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33120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833120" w:rsidP="00287538"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33120" w:rsidP="001D47E1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33120" w:rsidP="00287538"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33120" w:rsidP="00287538">
            <w:r>
              <w:t xml:space="preserve">octubre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576783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833120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576783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576783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F775FA" w:rsidP="00AE7A3B">
            <w:r>
              <w:t>octubre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576783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F775FA" w:rsidP="00287538">
            <w:r>
              <w:t>octubre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83" w:rsidRDefault="00576783">
      <w:r>
        <w:separator/>
      </w:r>
    </w:p>
  </w:endnote>
  <w:endnote w:type="continuationSeparator" w:id="0">
    <w:p w:rsidR="00576783" w:rsidRDefault="005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0" w:rsidRPr="009F5734" w:rsidRDefault="00833120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833120" w:rsidRPr="009F5734" w:rsidRDefault="00833120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833120" w:rsidRPr="009F5734" w:rsidRDefault="00833120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83" w:rsidRDefault="00576783">
      <w:r>
        <w:separator/>
      </w:r>
    </w:p>
  </w:footnote>
  <w:footnote w:type="continuationSeparator" w:id="0">
    <w:p w:rsidR="00576783" w:rsidRDefault="0057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0" w:rsidRDefault="00833120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3120" w:rsidRPr="009F5734" w:rsidRDefault="00833120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833120" w:rsidRPr="00AC1D82" w:rsidRDefault="00833120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833120" w:rsidRDefault="00833120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833120" w:rsidRPr="00D672AB" w:rsidRDefault="00833120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833120" w:rsidRPr="00BB37DE" w:rsidRDefault="00833120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0469B5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136</TotalTime>
  <Pages>14</Pages>
  <Words>5579</Words>
  <Characters>30686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36193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15</cp:revision>
  <cp:lastPrinted>2018-01-12T16:49:00Z</cp:lastPrinted>
  <dcterms:created xsi:type="dcterms:W3CDTF">2019-06-07T19:47:00Z</dcterms:created>
  <dcterms:modified xsi:type="dcterms:W3CDTF">2019-11-11T13:36:00Z</dcterms:modified>
</cp:coreProperties>
</file>